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Stornorechnung</w:t>
      </w:r>
    </w:p>
    <w:p>
      <w:r>
        <w:rPr>
          <w:b w:val="0"/>
          <w:color w:val="6B7280"/>
          <w:sz w:val="20"/>
        </w:rPr>
        <w:t>Vollständige Aufhebung einer Rechnung mit Bezug auf die Originalrechnung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Rechnungssteller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Rechnungsempfänger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Steuernummer oder USt-IdNr.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E-Mail, Telefon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USt-IdNr. Empfänger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Stornorechnungsnummer (fortlaufend)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 der Stornorechnung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Bezug auf die Originalrechnung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55"/>
        <w:gridCol w:w="2891"/>
        <w:gridCol w:w="2891"/>
      </w:tblGrid>
      <w:tr>
        <w:trPr>
          <w:trHeight w:val="454" w:hRule="atLeast"/>
        </w:trPr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Rechnungsnummer der Originalrechnung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Rechnungsdatum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Leistungsdatum laut Original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Grund der Stornierung</w:t>
      </w:r>
    </w:p>
    <w:p>
      <w:pPr>
        <w:spacing w:after="80"/>
      </w:pPr>
      <w:r>
        <w:rPr>
          <w:b w:val="0"/>
          <w:sz w:val="18"/>
        </w:rPr>
        <w:t>[    ] Leistung nicht ausgeführt oder rückgängig gemacht (§ 17 UStG)</w:t>
      </w:r>
    </w:p>
    <w:p>
      <w:pPr>
        <w:spacing w:after="80"/>
      </w:pPr>
      <w:r>
        <w:rPr>
          <w:b w:val="0"/>
          <w:sz w:val="18"/>
        </w:rPr>
        <w:t>[    ] Rechnung irrtümlich oder doppelt ausgestellt</w:t>
      </w:r>
    </w:p>
    <w:p>
      <w:pPr>
        <w:spacing w:after="80"/>
      </w:pPr>
      <w:r>
        <w:rPr>
          <w:b w:val="0"/>
          <w:sz w:val="18"/>
        </w:rPr>
        <w:t>[    ] Fehlerhafte Rechnung, Neuausstellung folgt mit Rechnung Nr. ______________</w:t>
      </w:r>
    </w:p>
    <w:p>
      <w:r>
        <w:rPr>
          <w:b w:val="0"/>
          <w:sz w:val="18"/>
        </w:rPr>
        <w:t>Hiermit stornieren wir die oben genannte Rechnung in voller Höhe. Alle Beträge werden mit negativem Vorzeichen aus der Originalrechnung übernommen.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6"/>
        <w:gridCol w:w="916"/>
        <w:gridCol w:w="3855"/>
        <w:gridCol w:w="1735"/>
        <w:gridCol w:w="916"/>
        <w:gridCol w:w="1590"/>
      </w:tblGrid>
      <w:tr>
        <w:trPr>
          <w:trHeight w:val="397" w:hRule="atLeast"/>
        </w:trPr>
        <w:tc>
          <w:tcPr>
            <w:tcW w:type="dxa" w:w="62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91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385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Beschreibung der Leistung</w:t>
            </w:r>
          </w:p>
        </w:tc>
        <w:tc>
          <w:tcPr>
            <w:tcW w:type="dxa" w:w="173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Einzelpreis netto</w:t>
            </w:r>
          </w:p>
        </w:tc>
        <w:tc>
          <w:tcPr>
            <w:tcW w:type="dxa" w:w="91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USt-Satz</w:t>
            </w:r>
          </w:p>
        </w:tc>
        <w:tc>
          <w:tcPr>
            <w:tcW w:type="dxa" w:w="159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netto</w:t>
            </w: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Storno netto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Storno netto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Stornobetrag brutto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55"/>
        <w:gridCol w:w="5783"/>
      </w:tblGrid>
      <w:tr>
        <w:trPr>
          <w:trHeight w:val="454" w:hRule="atLeast"/>
        </w:trPr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Erstattung bereits gezahlter Beträge bis</w:t>
            </w:r>
          </w:p>
        </w:tc>
        <w:tc>
          <w:tcPr>
            <w:tcW w:type="dxa" w:w="578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auf Konto (IBAN des Empfängers)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Eine ausgestellte Rechnung wird nicht gelöscht oder überschrieben, sondern durch ein eigenes Dokument mit eigener fortlaufender Nummer aufgehoben, das eindeutig auf die Originalrechnung verweist. Original und Stornorechnung 8 Jahre aufbewahren (§ 14b UStG, § 147 AO). Die Bezeichnung "Gutschrift" für eine Stornierung ist umsatzsteuerlich unbeachtlich, kann aber mit der Gutschrift nach § 14 Abs. 2 Satz 5 UStG verwechselt werden.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Stornorechnung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