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Spesenabrechnung</w:t>
      </w:r>
    </w:p>
    <w:p>
      <w:r>
        <w:rPr>
          <w:b w:val="0"/>
          <w:color w:val="6B7280"/>
          <w:sz w:val="20"/>
        </w:rPr>
        <w:t>Erstattung von Auslagen, die Mitarbeitende für das Unternehmen bezahlt haben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Mitarbeiter/in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Personalnummer / Kostenstelle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Abteilung / Projekt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Abrechnungszeitraum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1060"/>
        <w:gridCol w:w="2024"/>
        <w:gridCol w:w="2602"/>
        <w:gridCol w:w="1157"/>
        <w:gridCol w:w="1157"/>
        <w:gridCol w:w="1157"/>
      </w:tblGrid>
      <w:tr>
        <w:trPr>
          <w:trHeight w:val="397" w:hRule="atLeast"/>
        </w:trPr>
        <w:tc>
          <w:tcPr>
            <w:tcW w:type="dxa" w:w="48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Nr.</w:t>
            </w:r>
          </w:p>
        </w:tc>
        <w:tc>
          <w:tcPr>
            <w:tcW w:type="dxa" w:w="106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02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Beleg / Empfänger</w:t>
            </w:r>
          </w:p>
        </w:tc>
        <w:tc>
          <w:tcPr>
            <w:tcW w:type="dxa" w:w="260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Betrieblicher Anlass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Kategorie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Brutto (EUR)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darin USt</w:t>
            </w: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8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9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10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11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12</w:t>
            </w: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2024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Summe Auslagen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abzüglich Vorschuss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Auszahlungsbetrag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Kategorien: Material, Porto, Bewirtung (Bewirtungsbeleg beifügen), Parken, Fahrtkosten, Sonstiges. Dienstreisen mit Verpflegungspauschalen über die Reisekostenabrechnung abrechnen.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Auszahlung auf Konto (IBAN)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Ich versichere, dass die Auslagen im betrieblichen Interesse entstanden sind und nicht anderweitig erstattet wurden. Die Originalbelege sind beigefügt.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Mitarbeiter/in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Geprüft und genehmigt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Vorgesetzte/r oder Buchhaltung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Ersatz von Auslagen, die für den Arbeitgeber getätigt wurden, ist steuerfrei (§ 3 Nr. 50 EStG). Vorsteuer nur aus Rechnungen auf das Unternehmen; bis 250 Euro genügt eine Kleinbetragsrechnung (§ 33 UStDV). Bewirtungskosten sind nur zu 70 % als Betriebsausgabe abziehbar (§ 4 Abs. 5 Satz 1 Nr. 2 EStG). Belege 8 Jahre aufbewahren (§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Spesenabrechnung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