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Ratenzahlungsvereinbarung</w:t>
      </w:r>
    </w:p>
    <w:p>
      <w:r>
        <w:rPr>
          <w:b w:val="0"/>
          <w:color w:val="6B7280"/>
          <w:sz w:val="20"/>
        </w:rPr>
        <w:t>Vereinbarung über die Zahlung einer offenen Forderung in Raten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Gläubiger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Schuldner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1. Forderung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Grund der Forderung (Rechnung Nr., Datum, Leistung)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Hauptforderung (EUR)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Zinsen und Kosten bis heute (EUR)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Gesamtschuld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Der Schuldner erkennt die Gesamtschuld in der genannten Höhe als berechtigt an.</w:t>
      </w:r>
    </w:p>
    <w:p>
      <w:pPr>
        <w:keepNext/>
        <w:spacing w:before="80"/>
      </w:pPr>
      <w:r>
        <w:rPr>
          <w:b/>
          <w:sz w:val="20"/>
        </w:rPr>
        <w:t>2. Raten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3373"/>
        <w:gridCol w:w="3373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Anzahl der Raten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Höhe jeder Rate (EUR)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Höhe der letzten Rate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3373"/>
        <w:gridCol w:w="3373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Erste Rate fällig am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Folgeraten jeweils am (Tag des Monats)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 per Überweisung auf IBAN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7"/>
        <w:gridCol w:w="2120"/>
        <w:gridCol w:w="2120"/>
        <w:gridCol w:w="2120"/>
        <w:gridCol w:w="2120"/>
      </w:tblGrid>
      <w:tr>
        <w:trPr>
          <w:trHeight w:val="397" w:hRule="atLeast"/>
        </w:trPr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Rate Nr.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Fällig am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(EUR)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Bezahlt am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Restschuld (EUR)</w:t>
            </w: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157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3. Zinsen</w:t>
      </w:r>
    </w:p>
    <w:p>
      <w:pPr>
        <w:spacing w:after="80"/>
      </w:pPr>
      <w:r>
        <w:rPr>
          <w:b w:val="0"/>
          <w:sz w:val="18"/>
        </w:rPr>
        <w:t>[    ] Für den Zahlungsaufschub werden keine Zinsen und keine Gebühren berechnet</w:t>
      </w:r>
    </w:p>
    <w:p>
      <w:pPr>
        <w:spacing w:after="80"/>
      </w:pPr>
      <w:r>
        <w:rPr>
          <w:b w:val="0"/>
          <w:sz w:val="18"/>
        </w:rPr>
        <w:t>[    ] Zinsen von ______ % pro Jahr auf die jeweilige Restschuld</w:t>
      </w:r>
    </w:p>
    <w:p>
      <w:pPr>
        <w:keepNext/>
        <w:spacing w:before="80"/>
      </w:pPr>
      <w:r>
        <w:rPr>
          <w:b/>
          <w:sz w:val="20"/>
        </w:rPr>
        <w:t>4. Verzug</w:t>
      </w:r>
    </w:p>
    <w:p>
      <w:r>
        <w:rPr>
          <w:b w:val="0"/>
          <w:sz w:val="18"/>
        </w:rPr>
        <w:t>Gerät der Schuldner mit mindestens zwei aufeinanderfolgenden Raten ganz oder teilweise in Verzug, wird die gesamte Restschuld nach schriftlicher Mahnung mit einer Frist von zwei Wochen sofort fällig.</w:t>
      </w:r>
    </w:p>
    <w:p>
      <w:pPr>
        <w:keepNext/>
        <w:spacing w:before="80"/>
      </w:pPr>
      <w:r>
        <w:rPr>
          <w:b/>
          <w:sz w:val="20"/>
        </w:rPr>
        <w:t>5. Sonstiges</w:t>
      </w:r>
    </w:p>
    <w:p>
      <w:r>
        <w:rPr>
          <w:b w:val="0"/>
          <w:sz w:val="18"/>
        </w:rPr>
        <w:t>Der Schuldner kann die Restschuld jederzeit ganz oder teilweise vorzeitig zahlen. Änderungen dieser Vereinbarung bedürfen der Textform.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Gläubiger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Schuldner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Mit der Vereinbarung erkennt der Schuldner die Forderung an, die Verjährung beginnt neu (§ 212 Abs. 1 Nr. 1 BGB). Ist der Schuldner Verbraucher und wird für den Zahlungsaufschub ein Entgelt verlangt, gelten die Vorschriften über Finanzierungshilfen (§ 506 BGB) mit Informationspflichten und Widerrufsrecht; in diesem Fall vorher rechtlich beraten lassen.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Ratenzahlungsvereinbarung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