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Liquiditätsplan</w:t>
      </w:r>
    </w:p>
    <w:p>
      <w:r>
        <w:rPr>
          <w:b w:val="0"/>
          <w:color w:val="6B7280"/>
          <w:sz w:val="20"/>
        </w:rPr>
        <w:t>Einzahlungen und Auszahlungen für zwölf Monate, Kontostand und Kreditlinie, mit Steuerterminen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828"/>
        <w:gridCol w:w="2914"/>
        <w:gridCol w:w="2914"/>
        <w:gridCol w:w="2914"/>
      </w:tblGrid>
      <w:tr>
        <w:trPr>
          <w:trHeight w:val="454" w:hRule="atLeast"/>
        </w:trPr>
        <w:tc>
          <w:tcPr>
            <w:tcW w:type="dxa" w:w="58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</w:t>
            </w:r>
          </w:p>
        </w:tc>
        <w:tc>
          <w:tcPr>
            <w:tcW w:type="dxa" w:w="2914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Planjahr</w:t>
            </w:r>
          </w:p>
        </w:tc>
        <w:tc>
          <w:tcPr>
            <w:tcW w:type="dxa" w:w="2914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Kreditlinie (EUR)</w:t>
            </w:r>
          </w:p>
        </w:tc>
        <w:tc>
          <w:tcPr>
            <w:tcW w:type="dxa" w:w="2914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Stand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05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>
        <w:trPr>
          <w:trHeight w:val="397" w:hRule="atLeast"/>
        </w:trPr>
        <w:tc>
          <w:tcPr>
            <w:tcW w:type="dxa" w:w="320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Position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Jan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Feb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Mär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Apr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Mai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Jun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Jul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Aug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Sep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Okt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Nov</w:t>
            </w:r>
          </w:p>
        </w:tc>
        <w:tc>
          <w:tcPr>
            <w:tcW w:type="dxa" w:w="9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Dez</w:t>
            </w: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Kontostand Monatsanfang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Einzahlungen bar und Karte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Einzahlungen Überweisung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Sonstige Einzahlungen, Darlehen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Summe Einzahlungen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Wareneinkauf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Löhne und Gehälter (netto)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Sozialversicherung, Lohnsteuer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Miete, Pacht, Nebenkosten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Energie, Versicherungen, Leasing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Sonstige Kosten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Umsatzsteuer-Zahllast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Einkommen- und Gewerbesteuer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Zins und Tilgung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Privatentnahmen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Summe Auszahlungen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Überschuss oder Fehlbetrag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05"/>
          </w:tcPr>
          <w:p>
            <w:pPr>
              <w:spacing w:after="0"/>
            </w:pPr>
            <w:r>
              <w:rPr>
                <w:b w:val="0"/>
                <w:sz w:val="18"/>
              </w:rPr>
              <w:t>Kontostand Monatsende</w:t>
            </w: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  <w:tc>
          <w:tcPr>
            <w:tcW w:type="dxa" w:w="94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Zahlungstermine: Umsatzsteuer am 10. nach Ablauf des Voranmeldungszeitraums, mit Dauerfristverlängerung einen Monat später (§ 18 Abs. 1 UStG, § 46 UStDV); Lohnsteuer am 10. nach Ablauf des Anmeldungszeitraums (§ 41a EStG); Sozialversicherungsbeiträge am drittletzten Bankarbeitstag des laufenden Monats (§ 23 Abs. 1 SGB IV); Einkommensteuer-Vorauszahlungen am 10. März, Juni, September und Dezember (§ 37 EStG); Gewerbesteuer-Vorauszahlungen am 15. Februar, Mai, August und November (§ 19 GewStG). Planen Sie Zahlungen, nicht Umsätze oder Aufwand: maßgeblich ist, wann Geld fließt. Die Excel-Datei rechnet Summen, Kontostand und Warnung bei Unterdeckung.</w:t>
      </w:r>
    </w:p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Liquiditätsplan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