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Kostenvoranschlag</w:t>
      </w:r>
    </w:p>
    <w:p>
      <w:r>
        <w:rPr>
          <w:b w:val="0"/>
          <w:color w:val="6B7280"/>
          <w:sz w:val="20"/>
        </w:rPr>
        <w:t>Voraussichtliche Kosten für Reparatur, Werk oder Dienstleistung (§ 649 BGB)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Unternehmer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Kunde (Besteller)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Ansprechpartner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Telefon, E-Mail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Steuernummer oder USt-IdNr.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Kundennummer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77"/>
        <w:gridCol w:w="3180"/>
        <w:gridCol w:w="3180"/>
      </w:tblGrid>
      <w:tr>
        <w:trPr>
          <w:trHeight w:val="454" w:hRule="atLeast"/>
        </w:trPr>
        <w:tc>
          <w:tcPr>
            <w:tcW w:type="dxa" w:w="327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Kostenvoranschlag Nr.</w:t>
            </w:r>
          </w:p>
        </w:tc>
        <w:tc>
          <w:tcPr>
            <w:tcW w:type="dxa" w:w="318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</w:t>
            </w:r>
          </w:p>
        </w:tc>
        <w:tc>
          <w:tcPr>
            <w:tcW w:type="dxa" w:w="318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Gültig bis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Gegenstand und Ort der Arbeiten (Gerät, Objekt, Adresse)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6"/>
        <w:gridCol w:w="1012"/>
        <w:gridCol w:w="3759"/>
        <w:gridCol w:w="1735"/>
        <w:gridCol w:w="916"/>
        <w:gridCol w:w="1590"/>
      </w:tblGrid>
      <w:tr>
        <w:trPr>
          <w:trHeight w:val="397" w:hRule="atLeast"/>
        </w:trPr>
        <w:tc>
          <w:tcPr>
            <w:tcW w:type="dxa" w:w="62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Pos.</w:t>
            </w:r>
          </w:p>
        </w:tc>
        <w:tc>
          <w:tcPr>
            <w:tcW w:type="dxa" w:w="1012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Menge / Std.</w:t>
            </w:r>
          </w:p>
        </w:tc>
        <w:tc>
          <w:tcPr>
            <w:tcW w:type="dxa" w:w="375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Leistung oder Material</w:t>
            </w:r>
          </w:p>
        </w:tc>
        <w:tc>
          <w:tcPr>
            <w:tcW w:type="dxa" w:w="173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Einzelpreis netto</w:t>
            </w:r>
          </w:p>
        </w:tc>
        <w:tc>
          <w:tcPr>
            <w:tcW w:type="dxa" w:w="91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USt-Satz</w:t>
            </w:r>
          </w:p>
        </w:tc>
        <w:tc>
          <w:tcPr>
            <w:tcW w:type="dxa" w:w="159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Betrag netto</w:t>
            </w: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</w:t>
            </w:r>
          </w:p>
        </w:tc>
        <w:tc>
          <w:tcPr>
            <w:tcW w:type="dxa" w:w="1012"/>
          </w:tcPr>
          <w:p>
            <w:pPr>
              <w:spacing w:after="0"/>
            </w:pPr>
          </w:p>
        </w:tc>
        <w:tc>
          <w:tcPr>
            <w:tcW w:type="dxa" w:w="3759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2</w:t>
            </w:r>
          </w:p>
        </w:tc>
        <w:tc>
          <w:tcPr>
            <w:tcW w:type="dxa" w:w="1012"/>
          </w:tcPr>
          <w:p>
            <w:pPr>
              <w:spacing w:after="0"/>
            </w:pPr>
          </w:p>
        </w:tc>
        <w:tc>
          <w:tcPr>
            <w:tcW w:type="dxa" w:w="3759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3</w:t>
            </w:r>
          </w:p>
        </w:tc>
        <w:tc>
          <w:tcPr>
            <w:tcW w:type="dxa" w:w="1012"/>
          </w:tcPr>
          <w:p>
            <w:pPr>
              <w:spacing w:after="0"/>
            </w:pPr>
          </w:p>
        </w:tc>
        <w:tc>
          <w:tcPr>
            <w:tcW w:type="dxa" w:w="3759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4</w:t>
            </w:r>
          </w:p>
        </w:tc>
        <w:tc>
          <w:tcPr>
            <w:tcW w:type="dxa" w:w="1012"/>
          </w:tcPr>
          <w:p>
            <w:pPr>
              <w:spacing w:after="0"/>
            </w:pPr>
          </w:p>
        </w:tc>
        <w:tc>
          <w:tcPr>
            <w:tcW w:type="dxa" w:w="3759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5</w:t>
            </w:r>
          </w:p>
        </w:tc>
        <w:tc>
          <w:tcPr>
            <w:tcW w:type="dxa" w:w="1012"/>
          </w:tcPr>
          <w:p>
            <w:pPr>
              <w:spacing w:after="0"/>
            </w:pPr>
          </w:p>
        </w:tc>
        <w:tc>
          <w:tcPr>
            <w:tcW w:type="dxa" w:w="3759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6</w:t>
            </w:r>
          </w:p>
        </w:tc>
        <w:tc>
          <w:tcPr>
            <w:tcW w:type="dxa" w:w="1012"/>
          </w:tcPr>
          <w:p>
            <w:pPr>
              <w:spacing w:after="0"/>
            </w:pPr>
          </w:p>
        </w:tc>
        <w:tc>
          <w:tcPr>
            <w:tcW w:type="dxa" w:w="3759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7</w:t>
            </w:r>
          </w:p>
        </w:tc>
        <w:tc>
          <w:tcPr>
            <w:tcW w:type="dxa" w:w="1012"/>
          </w:tcPr>
          <w:p>
            <w:pPr>
              <w:spacing w:after="0"/>
            </w:pPr>
          </w:p>
        </w:tc>
        <w:tc>
          <w:tcPr>
            <w:tcW w:type="dxa" w:w="3759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4649"/>
        <w:gridCol w:w="1587"/>
      </w:tblGrid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Zwischensumme netto 7 %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Zwischensumme netto 19 %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7 %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19 %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/>
                <w:sz w:val="18"/>
              </w:rPr>
              <w:t>Gesamtbetrag brutto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spacing w:after="80"/>
      </w:pPr>
      <w:r>
        <w:rPr>
          <w:b w:val="0"/>
          <w:sz w:val="18"/>
        </w:rPr>
        <w:t>[    ] Unverbindlicher Kostenvoranschlag: Eine wesentliche Überschreitung zeigen wir unverzüglich an (§ 649 Abs. 2 BGB)</w:t>
      </w:r>
    </w:p>
    <w:p>
      <w:pPr>
        <w:spacing w:after="80"/>
      </w:pPr>
      <w:r>
        <w:rPr>
          <w:b w:val="0"/>
          <w:sz w:val="18"/>
        </w:rPr>
        <w:t>[    ] Verbindlicher Kostenvoranschlag: Wir übernehmen die Gewähr für die Richtigkeit (Festpreis)</w:t>
      </w:r>
    </w:p>
    <w:p>
      <w:pPr>
        <w:spacing w:after="80"/>
      </w:pPr>
      <w:r>
        <w:rPr>
          <w:b w:val="0"/>
          <w:sz w:val="18"/>
        </w:rPr>
        <w:t>[    ] Erstellung dieses Kostenvoranschlags kostenlos</w:t>
      </w:r>
    </w:p>
    <w:p>
      <w:pPr>
        <w:spacing w:after="80"/>
      </w:pPr>
      <w:r>
        <w:rPr>
          <w:b w:val="0"/>
          <w:sz w:val="18"/>
        </w:rPr>
        <w:t>[    ] Erstellung kostenpflichtig wie vorher vereinbart: ______ EUR, Verrechnung bei Auftrag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Voraussichtlicher Ausführungszeitraum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Zahlungsbedingungen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Auftragserteilung durch den Kunden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Kunde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Ein Kostenvoranschlag ist im Zweifel nicht zu vergüten (§ 632 Abs. 3 BGB). Ist er unverbindlich und zeigt sich eine wesentliche Überschreitung, muss der Unternehmer sie unverzüglich anzeigen; der Kunde kann dann kündigen und schuldet nur die bisher erbrachte Leistung (§ 649 BGB in Verbindung mit § 645 Abs. 1 BGB). Der Kostenvoranschlag ist keine Rechnung und berechtigt nicht zum Vorsteuerabzug.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Kostenvoranschlag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