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Gefährdungsbeurteilung</w:t>
      </w:r>
    </w:p>
    <w:p>
      <w:r>
        <w:rPr>
          <w:b w:val="0"/>
          <w:color w:val="6B7280"/>
          <w:sz w:val="20"/>
        </w:rPr>
        <w:t>Dokumentation nach §§ 5 und 6 ArbSchG für Gastronomie, Hotel und kleine Betriebe, mit Maßnahmen und Wirksamkeit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0"/>
        <w:gridCol w:w="3643"/>
        <w:gridCol w:w="2186"/>
        <w:gridCol w:w="3643"/>
      </w:tblGrid>
      <w:tr>
        <w:trPr>
          <w:trHeight w:val="454" w:hRule="atLeast"/>
        </w:trPr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</w:t>
            </w:r>
          </w:p>
        </w:tc>
        <w:tc>
          <w:tcPr>
            <w:tcW w:type="dxa" w:w="364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Bereich / Tätigkeit</w:t>
            </w:r>
          </w:p>
        </w:tc>
        <w:tc>
          <w:tcPr>
            <w:tcW w:type="dxa" w:w="2186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364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Beurteilt von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742"/>
        <w:gridCol w:w="5828"/>
      </w:tblGrid>
      <w:tr>
        <w:trPr>
          <w:trHeight w:val="454" w:hRule="atLeast"/>
        </w:trPr>
        <w:tc>
          <w:tcPr>
            <w:tcW w:type="dxa" w:w="874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Beteiligt (Fachkraft für Arbeitssicherheit, Betriebsarzt, Beschäftigte)</w:t>
            </w:r>
          </w:p>
        </w:tc>
        <w:tc>
          <w:tcPr>
            <w:tcW w:type="dxa" w:w="58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Nächste Überprüfung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Küche</w:t>
      </w:r>
    </w:p>
    <w:p>
      <w:pPr>
        <w:spacing w:after="80"/>
      </w:pPr>
      <w:r>
        <w:rPr>
          <w:b w:val="0"/>
          <w:sz w:val="18"/>
        </w:rPr>
        <w:t>[    ] Service und Gastraum</w:t>
      </w:r>
    </w:p>
    <w:p>
      <w:pPr>
        <w:spacing w:after="80"/>
      </w:pPr>
      <w:r>
        <w:rPr>
          <w:b w:val="0"/>
          <w:sz w:val="18"/>
        </w:rPr>
        <w:t>[    ] Theke und Ausschank</w:t>
      </w:r>
    </w:p>
    <w:p>
      <w:pPr>
        <w:spacing w:after="80"/>
      </w:pPr>
      <w:r>
        <w:rPr>
          <w:b w:val="0"/>
          <w:sz w:val="18"/>
        </w:rPr>
        <w:t>[    ] Empfang und Büro</w:t>
      </w:r>
    </w:p>
    <w:p>
      <w:pPr>
        <w:spacing w:after="80"/>
      </w:pPr>
      <w:r>
        <w:rPr>
          <w:b w:val="0"/>
          <w:sz w:val="18"/>
        </w:rPr>
        <w:t>[    ] Housekeeping und Wäsche</w:t>
      </w:r>
    </w:p>
    <w:p>
      <w:pPr>
        <w:spacing w:after="80"/>
      </w:pPr>
      <w:r>
        <w:rPr>
          <w:b w:val="0"/>
          <w:sz w:val="18"/>
        </w:rPr>
        <w:t>[    ] Lager, Anlieferung, Kühlräume</w:t>
      </w:r>
    </w:p>
    <w:p>
      <w:pPr>
        <w:keepNext/>
        <w:spacing w:before="80"/>
      </w:pPr>
      <w:r>
        <w:rPr>
          <w:b/>
          <w:sz w:val="20"/>
        </w:rPr>
        <w:t>Gefährdungen, Bewertung und Maßnahmen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08"/>
        <w:gridCol w:w="1457"/>
        <w:gridCol w:w="3934"/>
        <w:gridCol w:w="1603"/>
        <w:gridCol w:w="874"/>
        <w:gridCol w:w="874"/>
        <w:gridCol w:w="1020"/>
      </w:tblGrid>
      <w:tr>
        <w:trPr>
          <w:trHeight w:val="397" w:hRule="atLeast"/>
        </w:trPr>
        <w:tc>
          <w:tcPr>
            <w:tcW w:type="dxa" w:w="480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Gefährdung (Beispiele)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Risiko</w:t>
            </w:r>
          </w:p>
        </w:tc>
        <w:tc>
          <w:tcPr>
            <w:tcW w:type="dxa" w:w="393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Maßnahme (technisch, organisatorisch)</w:t>
            </w:r>
          </w:p>
        </w:tc>
        <w:tc>
          <w:tcPr>
            <w:tcW w:type="dxa" w:w="160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Verantwortlich</w:t>
            </w:r>
          </w:p>
        </w:tc>
        <w:tc>
          <w:tcPr>
            <w:tcW w:type="dxa" w:w="87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Bis</w:t>
            </w:r>
          </w:p>
        </w:tc>
        <w:tc>
          <w:tcPr>
            <w:tcW w:type="dxa" w:w="87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Erledigt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Wirksam</w:t>
            </w: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Schnittverletzung (Messer, Maschinen)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Verbrennung, Verbrühung (Fritteuse, Herd)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Ausrutschen, Stolpern (nasse Böden)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Heben und Tragen (Kisten, Fässer)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Gefahrstoffe (Reinigungsmittel)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Brand, Flucht- und Rettungswege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Hitze, Kälte, Lärm (Küche, Kühlhaus)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Psychische Belastung (Stoßzeiten)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Überfall, Gewalt (Kasse, Nachtdienst)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08"/>
          </w:tcPr>
          <w:p>
            <w:pPr>
              <w:spacing w:after="0"/>
            </w:pPr>
            <w:r>
              <w:rPr>
                <w:b w:val="0"/>
                <w:sz w:val="18"/>
              </w:rPr>
              <w:t>Schwangere und Stillende (§ 10 MuSchG)</w:t>
            </w: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3934"/>
          </w:tcPr>
          <w:p>
            <w:pPr>
              <w:spacing w:after="0"/>
            </w:pPr>
          </w:p>
        </w:tc>
        <w:tc>
          <w:tcPr>
            <w:tcW w:type="dxa" w:w="1603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Mutterschutz für diese Tätigkeit (§ 10 Abs. 1 MuSchG)</w:t>
      </w:r>
    </w:p>
    <w:p>
      <w:pPr>
        <w:spacing w:after="80"/>
      </w:pPr>
      <w:r>
        <w:rPr>
          <w:b w:val="0"/>
          <w:sz w:val="18"/>
        </w:rPr>
        <w:t>[    ] Keine Schutzmaßnahmen erforderlich</w:t>
      </w:r>
    </w:p>
    <w:p>
      <w:pPr>
        <w:spacing w:after="80"/>
      </w:pPr>
      <w:r>
        <w:rPr>
          <w:b w:val="0"/>
          <w:sz w:val="18"/>
        </w:rPr>
        <w:t>[    ] Umgestaltung der Arbeitsbedingungen erforderlich</w:t>
      </w:r>
    </w:p>
    <w:p>
      <w:pPr>
        <w:spacing w:after="80"/>
      </w:pPr>
      <w:r>
        <w:rPr>
          <w:b w:val="0"/>
          <w:sz w:val="18"/>
        </w:rPr>
        <w:t>[    ] Fortführung der Tätigkeit an diesem Arbeitsplatz nicht möglich</w:t>
      </w:r>
    </w:p>
    <w:p>
      <w:pPr>
        <w:keepNext/>
        <w:spacing w:before="80"/>
      </w:pPr>
      <w:r>
        <w:rPr>
          <w:b/>
          <w:sz w:val="20"/>
        </w:rPr>
        <w:t>Unterweisung der Beschäftigten (§ 12 ArbSchG)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43"/>
        <w:gridCol w:w="6557"/>
        <w:gridCol w:w="4371"/>
      </w:tblGrid>
      <w:tr>
        <w:trPr>
          <w:trHeight w:val="454" w:hRule="atLeast"/>
        </w:trPr>
        <w:tc>
          <w:tcPr>
            <w:tcW w:type="dxa" w:w="364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Unterwiesen am</w:t>
            </w:r>
          </w:p>
        </w:tc>
        <w:tc>
          <w:tcPr>
            <w:tcW w:type="dxa" w:w="655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Themen</w:t>
            </w:r>
          </w:p>
        </w:tc>
        <w:tc>
          <w:tcPr>
            <w:tcW w:type="dxa" w:w="437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Unterweisende Person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0"/>
        <w:gridCol w:w="9471"/>
      </w:tblGrid>
      <w:tr>
        <w:trPr>
          <w:trHeight w:val="680" w:hRule="atLeast"/>
        </w:trPr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947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Arbeitgeber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Muster ohne Gewähr. Der Arbeitgeber muss die Gefährdungen ermitteln, Maßnahmen festlegen (§ 5 ArbSchG) und Ergebnis, Maßnahmen und Überprüfung dokumentieren (§ 6 ArbSchG), unabhängig von der Zahl der Beschäftigten. Zu beurteilen sind auch psychische Belastungen (§ 5 Abs. 3 Nr. 6 ArbSchG) und die Gefährdungen für Schwangere und Stillende für jede Tätigkeit (§ 10 MuSchG). Unterweisung bei Einstellung, bei Veränderungen und regelmäßig, nach DGUV Vorschrift 1 mindestens einmal jährlich. Branchenhilfen bietet die BGN.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