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Eigenbeleg (Ersatzbeleg)</w:t>
      </w:r>
    </w:p>
    <w:p>
      <w:r>
        <w:rPr>
          <w:b w:val="0"/>
          <w:color w:val="6B7280"/>
          <w:sz w:val="20"/>
        </w:rPr>
        <w:t>Ersatz für einen fehlenden Fremdbeleg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69"/>
        <w:gridCol w:w="2835"/>
        <w:gridCol w:w="2835"/>
      </w:tblGrid>
      <w:tr>
        <w:trPr>
          <w:trHeight w:val="510" w:hRule="atLeast"/>
        </w:trPr>
        <w:tc>
          <w:tcPr>
            <w:tcW w:type="dxa" w:w="396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 der Ausgabe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Beleg-Nr. (intern)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510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Zahlungsempfänger (Name, Anschrift)</w:t>
            </w:r>
          </w:p>
        </w:tc>
      </w:tr>
      <w:tr>
        <w:trPr>
          <w:trHeight w:val="510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510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Art der Ausgabe / Zweck</w:t>
            </w:r>
          </w:p>
        </w:tc>
      </w:tr>
      <w:tr>
        <w:trPr>
          <w:trHeight w:val="510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69"/>
        <w:gridCol w:w="5669"/>
      </w:tblGrid>
      <w:tr>
        <w:trPr>
          <w:trHeight w:val="510" w:hRule="atLeast"/>
        </w:trPr>
        <w:tc>
          <w:tcPr>
            <w:tcW w:type="dxa" w:w="396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Betrag (brutto, EUR)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Zahlungsart (bar, Karte, Überweisung)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Grund für den Eigenbeleg</w:t>
      </w:r>
    </w:p>
    <w:p>
      <w:pPr>
        <w:spacing w:after="80"/>
      </w:pPr>
      <w:r>
        <w:rPr>
          <w:b w:val="0"/>
          <w:sz w:val="18"/>
        </w:rPr>
        <w:t>[    ] Beleg verloren</w:t>
      </w:r>
      <w:r>
        <w:rPr>
          <w:b w:val="0"/>
          <w:sz w:val="18"/>
        </w:rPr>
        <w:t xml:space="preserve">      [    ] Kein Beleg erhältlich</w:t>
      </w:r>
      <w:r>
        <w:rPr>
          <w:b w:val="0"/>
          <w:sz w:val="18"/>
        </w:rPr>
        <w:t xml:space="preserve">      [    ] Trinkgeld</w:t>
      </w:r>
      <w:r>
        <w:rPr>
          <w:b w:val="0"/>
          <w:sz w:val="18"/>
        </w:rPr>
        <w:t xml:space="preserve">      [    ] Automat (Parkschein, Fahrkarte)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510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[    ] Sonstiges: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9FAFB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after="0"/>
            </w:pPr>
            <w:r>
              <w:rPr>
                <w:b w:val="0"/>
                <w:sz w:val="18"/>
              </w:rPr>
              <w:t>Kein Vorsteuerabzug ohne Rechnung (§ 15 UStG). Der Eigenbeleg dient nur dem Betriebsausgabenabzug.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69"/>
        <w:gridCol w:w="5669"/>
      </w:tblGrid>
      <w:tr>
        <w:trPr>
          <w:trHeight w:val="737" w:hRule="atLeast"/>
        </w:trPr>
        <w:tc>
          <w:tcPr>
            <w:tcW w:type="dxa" w:w="396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Hinweis: Der Eigenbeleg ist die Ausnahme. Betrag, Datum und Zweck müssen plausibel und betrieblich veranlasst sein. Geht eine Rechnung verloren, zuerst ein Duplikat beim Aussteller anfordern. Aufbewahrung 8 Jahre (§ 147 AO).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Eigenbeleg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